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before="0" w:lineRule="auto"/>
        <w:rPr>
          <w:b w:val="1"/>
          <w:bCs w:val="1"/>
          <w:color w:val="1f1f1f"/>
          <w:sz w:val="34"/>
          <w:szCs w:val="34"/>
        </w:rPr>
      </w:pPr>
      <w:bookmarkStart w:colFirst="0" w:colLast="0" w:name="_ialxo058aarv" w:id="0"/>
      <w:bookmarkEnd w:id="0"/>
      <w:r w:rsidDel="00000000" w:rsidR="00000000" w:rsidRPr="00000000">
        <w:rPr>
          <w:b w:val="1"/>
          <w:bCs w:val="1"/>
          <w:color w:val="1f1f1f"/>
          <w:sz w:val="34"/>
          <w:szCs w:val="34"/>
          <w:rtl w:val="0"/>
        </w:rPr>
        <w:t xml:space="preserve">Is Gold Entering a New Supercycle? What Market Signals Reveal</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As of late April 2026, the global financial landscape is witnessing a phenomenon not seen in decades. After a volatile start to the year—which saw gold surge to an all-time high of </w:t>
      </w:r>
      <w:r w:rsidDel="00000000" w:rsidR="00000000" w:rsidRPr="00000000">
        <w:rPr>
          <w:b w:val="1"/>
          <w:bCs w:val="1"/>
          <w:color w:val="1f1f1f"/>
          <w:rtl w:val="0"/>
        </w:rPr>
        <w:t xml:space="preserve">$5,589</w:t>
      </w:r>
      <w:r w:rsidDel="00000000" w:rsidR="00000000" w:rsidRPr="00000000">
        <w:rPr>
          <w:color w:val="1f1f1f"/>
          <w:rtl w:val="0"/>
        </w:rPr>
        <w:t xml:space="preserve"> in January before a sharp "hawkish" correction—investors are asking a pivotal question: Are we merely in a bull market, or is gold entering a </w:t>
      </w:r>
      <w:r w:rsidDel="00000000" w:rsidR="00000000" w:rsidRPr="00000000">
        <w:rPr>
          <w:b w:val="1"/>
          <w:bCs w:val="1"/>
          <w:color w:val="1f1f1f"/>
          <w:rtl w:val="0"/>
        </w:rPr>
        <w:t xml:space="preserve">structural supercycle</w:t>
      </w:r>
      <w:r w:rsidDel="00000000" w:rsidR="00000000" w:rsidRPr="00000000">
        <w:rPr>
          <w:color w:val="1f1f1f"/>
          <w:rtl w:val="0"/>
        </w:rPr>
        <w:t xml:space="preserve">?</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A supercycle is defined by a prolonged period (often a decade or more) where demand outstrips supply, driven by fundamental shifts in the global economy. Here is what the current market signals reveal about this potential new era for the "King of Metals."</w:t>
      </w:r>
    </w:p>
    <w:p w:rsidR="00000000" w:rsidDel="00000000" w:rsidP="00000000" w:rsidRDefault="00000000" w:rsidRPr="00000000" w14:paraId="00000004">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32ohkb4nhp4z" w:id="1"/>
      <w:bookmarkEnd w:id="1"/>
      <w:r w:rsidDel="00000000" w:rsidR="00000000" w:rsidRPr="00000000">
        <w:rPr>
          <w:b w:val="1"/>
          <w:bCs w:val="1"/>
          <w:color w:val="1f1f1f"/>
          <w:sz w:val="26"/>
          <w:szCs w:val="26"/>
          <w:rtl w:val="0"/>
        </w:rPr>
        <w:t xml:space="preserve">1. The Breakdown of Traditional Correlations</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Historically, gold moved in a predictable inverse relationship with the U.S. Dollar and real interest rates. When rates went up, gold went down. However, 2025 and early 2026 have shattered this rule. Despite 10-year Treasury yields climbing toward </w:t>
      </w:r>
      <w:r w:rsidDel="00000000" w:rsidR="00000000" w:rsidRPr="00000000">
        <w:rPr>
          <w:b w:val="1"/>
          <w:bCs w:val="1"/>
          <w:color w:val="1f1f1f"/>
          <w:rtl w:val="0"/>
        </w:rPr>
        <w:t xml:space="preserve">4.5%</w:t>
      </w:r>
      <w:r w:rsidDel="00000000" w:rsidR="00000000" w:rsidRPr="00000000">
        <w:rPr>
          <w:color w:val="1f1f1f"/>
          <w:rtl w:val="0"/>
        </w:rPr>
        <w:t xml:space="preserve"> and a hawkish shift in the Federal Reserve (following the nomination of Kevin Warsh), gold has refused to return to its pre-2023 levels.</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This </w:t>
      </w:r>
      <w:r w:rsidDel="00000000" w:rsidR="00000000" w:rsidRPr="00000000">
        <w:rPr>
          <w:b w:val="1"/>
          <w:bCs w:val="1"/>
          <w:color w:val="1f1f1f"/>
          <w:rtl w:val="0"/>
        </w:rPr>
        <w:t xml:space="preserve">decoupling</w:t>
      </w:r>
      <w:r w:rsidDel="00000000" w:rsidR="00000000" w:rsidRPr="00000000">
        <w:rPr>
          <w:color w:val="1f1f1f"/>
          <w:rtl w:val="0"/>
        </w:rPr>
        <w:t xml:space="preserve"> suggests that gold is being repriced based on systemic risks—such as sovereign debt levels and geopolitical fragmentation—rather than just interest rate fluctuations.</w:t>
      </w:r>
    </w:p>
    <w:p w:rsidR="00000000" w:rsidDel="00000000" w:rsidP="00000000" w:rsidRDefault="00000000" w:rsidRPr="00000000" w14:paraId="00000008">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mm83xs5akaf7" w:id="2"/>
      <w:bookmarkEnd w:id="2"/>
      <w:r w:rsidDel="00000000" w:rsidR="00000000" w:rsidRPr="00000000">
        <w:rPr>
          <w:b w:val="1"/>
          <w:bCs w:val="1"/>
          <w:color w:val="1f1f1f"/>
          <w:sz w:val="26"/>
          <w:szCs w:val="26"/>
          <w:rtl w:val="0"/>
        </w:rPr>
        <w:t xml:space="preserve">2. Central Banks: The New "Price Setters"</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The most significant signal of a supercycle is the aggressive "de-dollarization" of global reserves. In 2025, central banks purchased a staggering </w:t>
      </w:r>
      <w:r w:rsidDel="00000000" w:rsidR="00000000" w:rsidRPr="00000000">
        <w:rPr>
          <w:b w:val="1"/>
          <w:bCs w:val="1"/>
          <w:color w:val="1f1f1f"/>
          <w:rtl w:val="0"/>
        </w:rPr>
        <w:t xml:space="preserve">850 tonnes</w:t>
      </w:r>
      <w:r w:rsidDel="00000000" w:rsidR="00000000" w:rsidRPr="00000000">
        <w:rPr>
          <w:color w:val="1f1f1f"/>
          <w:rtl w:val="0"/>
        </w:rPr>
        <w:t xml:space="preserve"> of gold, and 2026 estimates suggest a continued pace of roughly </w:t>
      </w:r>
      <w:r w:rsidDel="00000000" w:rsidR="00000000" w:rsidRPr="00000000">
        <w:rPr>
          <w:b w:val="1"/>
          <w:bCs w:val="1"/>
          <w:color w:val="1f1f1f"/>
          <w:rtl w:val="0"/>
        </w:rPr>
        <w:t xml:space="preserve">800 tonnes</w:t>
      </w:r>
      <w:r w:rsidDel="00000000" w:rsidR="00000000" w:rsidRPr="00000000">
        <w:rPr>
          <w:color w:val="1f1f1f"/>
          <w:rtl w:val="0"/>
        </w:rPr>
        <w:t xml:space="preserve">.</w:t>
      </w:r>
    </w:p>
    <w:p w:rsidR="00000000" w:rsidDel="00000000" w:rsidP="00000000" w:rsidRDefault="00000000" w:rsidRPr="00000000" w14:paraId="0000000A">
      <w:pPr>
        <w:numPr>
          <w:ilvl w:val="0"/>
          <w:numId w:val="2"/>
        </w:numPr>
        <w:pBdr>
          <w:top w:color="auto" w:space="0" w:sz="0" w:val="none"/>
          <w:bottom w:color="auto" w:space="0" w:sz="0" w:val="none"/>
          <w:right w:color="auto" w:space="0" w:sz="0" w:val="none"/>
          <w:between w:color="auto" w:space="0" w:sz="0" w:val="none"/>
        </w:pBdr>
        <w:spacing w:after="0" w:afterAutospacing="0" w:lineRule="auto"/>
        <w:ind w:left="720" w:hanging="360"/>
      </w:pPr>
      <w:r w:rsidDel="00000000" w:rsidR="00000000" w:rsidRPr="00000000">
        <w:rPr>
          <w:b w:val="1"/>
          <w:bCs w:val="1"/>
          <w:color w:val="1f1f1f"/>
          <w:rtl w:val="0"/>
        </w:rPr>
        <w:t xml:space="preserve">Emerging Markets:</w:t>
      </w:r>
      <w:r w:rsidDel="00000000" w:rsidR="00000000" w:rsidRPr="00000000">
        <w:rPr>
          <w:color w:val="1f1f1f"/>
          <w:rtl w:val="0"/>
        </w:rPr>
        <w:t xml:space="preserve"> Countries like China, India, and Turkey are no longer just "adding" to reserves; they are fundamentally shifting their balance sheets away from fiat currency.</w:t>
      </w:r>
    </w:p>
    <w:p w:rsidR="00000000" w:rsidDel="00000000" w:rsidP="00000000" w:rsidRDefault="00000000" w:rsidRPr="00000000" w14:paraId="0000000B">
      <w:pPr>
        <w:numPr>
          <w:ilvl w:val="0"/>
          <w:numId w:val="2"/>
        </w:numPr>
        <w:pBdr>
          <w:top w:color="auto" w:space="0" w:sz="0" w:val="none"/>
          <w:bottom w:color="auto" w:space="0" w:sz="0" w:val="none"/>
          <w:right w:color="auto" w:space="0" w:sz="0" w:val="none"/>
          <w:between w:color="auto" w:space="0" w:sz="0" w:val="none"/>
        </w:pBdr>
        <w:spacing w:after="360" w:lineRule="auto"/>
        <w:ind w:left="780" w:hanging="360"/>
      </w:pPr>
      <w:r w:rsidDel="00000000" w:rsidR="00000000" w:rsidRPr="00000000">
        <w:rPr>
          <w:b w:val="1"/>
          <w:bCs w:val="1"/>
          <w:color w:val="1f1f1f"/>
          <w:rtl w:val="0"/>
        </w:rPr>
        <w:t xml:space="preserve">The Floor Effect:</w:t>
      </w:r>
      <w:r w:rsidDel="00000000" w:rsidR="00000000" w:rsidRPr="00000000">
        <w:rPr>
          <w:color w:val="1f1f1f"/>
          <w:rtl w:val="0"/>
        </w:rPr>
        <w:t xml:space="preserve"> This massive institutional demand creates a "structural floor." Even during the "February Correction" of 2026, gold found immense support at the </w:t>
      </w:r>
      <w:r w:rsidDel="00000000" w:rsidR="00000000" w:rsidRPr="00000000">
        <w:rPr>
          <w:b w:val="1"/>
          <w:bCs w:val="1"/>
          <w:color w:val="1f1f1f"/>
          <w:rtl w:val="0"/>
        </w:rPr>
        <w:t xml:space="preserve">$4,400</w:t>
      </w:r>
      <w:r w:rsidDel="00000000" w:rsidR="00000000" w:rsidRPr="00000000">
        <w:rPr>
          <w:color w:val="1f1f1f"/>
          <w:rtl w:val="0"/>
        </w:rPr>
        <w:t xml:space="preserve"> mark, bolstered by central bank buying that ignored short-term price volatility.</w:t>
      </w:r>
    </w:p>
    <w:p w:rsidR="00000000" w:rsidDel="00000000" w:rsidP="00000000" w:rsidRDefault="00000000" w:rsidRPr="00000000" w14:paraId="0000000C">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2gmwqlxnw61q" w:id="3"/>
      <w:bookmarkEnd w:id="3"/>
      <w:r w:rsidDel="00000000" w:rsidR="00000000" w:rsidRPr="00000000">
        <w:rPr>
          <w:b w:val="1"/>
          <w:bCs w:val="1"/>
          <w:color w:val="1f1f1f"/>
          <w:sz w:val="26"/>
          <w:szCs w:val="26"/>
          <w:rtl w:val="0"/>
        </w:rPr>
        <w:t xml:space="preserve">3. Supply Constraints and "Peak Gold"</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A supercycle requires a supply-side squeeze, and 2026 is providing just that. New gold discoveries have been on a downward trend for years, and the cost of extraction has skyrocketed.</w:t>
      </w:r>
    </w:p>
    <w:p w:rsidR="00000000" w:rsidDel="00000000" w:rsidP="00000000" w:rsidRDefault="00000000" w:rsidRPr="00000000" w14:paraId="0000000F">
      <w:pPr>
        <w:numPr>
          <w:ilvl w:val="0"/>
          <w:numId w:val="1"/>
        </w:numPr>
        <w:pBdr>
          <w:top w:color="auto" w:space="0" w:sz="0" w:val="none"/>
          <w:bottom w:color="auto" w:space="0" w:sz="0" w:val="none"/>
          <w:right w:color="auto" w:space="0" w:sz="0" w:val="none"/>
          <w:between w:color="auto" w:space="0" w:sz="0" w:val="none"/>
        </w:pBdr>
        <w:spacing w:after="0" w:afterAutospacing="0" w:lineRule="auto"/>
        <w:ind w:left="780" w:hanging="360"/>
      </w:pPr>
      <w:r w:rsidDel="00000000" w:rsidR="00000000" w:rsidRPr="00000000">
        <w:rPr>
          <w:b w:val="1"/>
          <w:bCs w:val="1"/>
          <w:color w:val="1f1f1f"/>
          <w:rtl w:val="0"/>
        </w:rPr>
        <w:t xml:space="preserve">AISC (All-In Sustaining Costs):</w:t>
      </w:r>
      <w:r w:rsidDel="00000000" w:rsidR="00000000" w:rsidRPr="00000000">
        <w:rPr>
          <w:color w:val="1f1f1f"/>
          <w:rtl w:val="0"/>
        </w:rPr>
        <w:t xml:space="preserve"> Inflation in energy and labor has pushed the cost to mine an ounce of gold significantly higher.</w:t>
      </w:r>
    </w:p>
    <w:p w:rsidR="00000000" w:rsidDel="00000000" w:rsidP="00000000" w:rsidRDefault="00000000" w:rsidRPr="00000000" w14:paraId="00000010">
      <w:pPr>
        <w:numPr>
          <w:ilvl w:val="0"/>
          <w:numId w:val="1"/>
        </w:numPr>
        <w:pBdr>
          <w:top w:color="auto" w:space="0" w:sz="0" w:val="none"/>
          <w:bottom w:color="auto" w:space="0" w:sz="0" w:val="none"/>
          <w:right w:color="auto" w:space="0" w:sz="0" w:val="none"/>
          <w:between w:color="auto" w:space="0" w:sz="0" w:val="none"/>
        </w:pBdr>
        <w:spacing w:after="360" w:lineRule="auto"/>
        <w:ind w:left="780" w:hanging="360"/>
      </w:pPr>
      <w:r w:rsidDel="00000000" w:rsidR="00000000" w:rsidRPr="00000000">
        <w:rPr>
          <w:b w:val="1"/>
          <w:bCs w:val="1"/>
          <w:color w:val="1f1f1f"/>
          <w:rtl w:val="0"/>
        </w:rPr>
        <w:t xml:space="preserve">Underinvestment:</w:t>
      </w:r>
      <w:r w:rsidDel="00000000" w:rsidR="00000000" w:rsidRPr="00000000">
        <w:rPr>
          <w:color w:val="1f1f1f"/>
          <w:rtl w:val="0"/>
        </w:rPr>
        <w:t xml:space="preserve"> Years of low capital expenditure in the 2010s mean that even with prices near $5,000, new supply cannot be "turned on" quickly. It takes an average of </w:t>
      </w:r>
      <w:r w:rsidDel="00000000" w:rsidR="00000000" w:rsidRPr="00000000">
        <w:rPr>
          <w:b w:val="1"/>
          <w:bCs w:val="1"/>
          <w:color w:val="1f1f1f"/>
          <w:rtl w:val="0"/>
        </w:rPr>
        <w:t xml:space="preserve">10 to 15 years</w:t>
      </w:r>
      <w:r w:rsidDel="00000000" w:rsidR="00000000" w:rsidRPr="00000000">
        <w:rPr>
          <w:color w:val="1f1f1f"/>
          <w:rtl w:val="0"/>
        </w:rPr>
        <w:t xml:space="preserve"> to bring a new mine from discovery to production.</w:t>
      </w:r>
    </w:p>
    <w:p w:rsidR="00000000" w:rsidDel="00000000" w:rsidP="00000000" w:rsidRDefault="00000000" w:rsidRPr="00000000" w14:paraId="00000011">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tqh9wqf0jm6x" w:id="4"/>
      <w:bookmarkEnd w:id="4"/>
      <w:r w:rsidDel="00000000" w:rsidR="00000000" w:rsidRPr="00000000">
        <w:rPr>
          <w:b w:val="1"/>
          <w:bCs w:val="1"/>
          <w:color w:val="1f1f1f"/>
          <w:sz w:val="26"/>
          <w:szCs w:val="26"/>
          <w:rtl w:val="0"/>
        </w:rPr>
        <w:t xml:space="preserve">4. Geopolitical Fragmentation</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The transition from a unipolar to a </w:t>
      </w:r>
      <w:r w:rsidDel="00000000" w:rsidR="00000000" w:rsidRPr="00000000">
        <w:rPr>
          <w:b w:val="1"/>
          <w:bCs w:val="1"/>
          <w:color w:val="1f1f1f"/>
          <w:rtl w:val="0"/>
        </w:rPr>
        <w:t xml:space="preserve">multipolar world</w:t>
      </w:r>
      <w:r w:rsidDel="00000000" w:rsidR="00000000" w:rsidRPr="00000000">
        <w:rPr>
          <w:color w:val="1f1f1f"/>
          <w:rtl w:val="0"/>
        </w:rPr>
        <w:t xml:space="preserve"> is a classic supercycle catalyst. The ongoing tensions in the Middle East and renewed trade wars in early 2026 have moved gold from a "speculative trade" to a "strategic necessity."</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460" w:lineRule="auto"/>
        <w:ind w:left="300" w:right="600" w:firstLine="0"/>
        <w:rPr>
          <w:i w:val="1"/>
          <w:iCs w:val="1"/>
          <w:color w:val="1f1f1f"/>
        </w:rPr>
      </w:pPr>
      <w:r w:rsidDel="00000000" w:rsidR="00000000" w:rsidRPr="00000000">
        <w:rPr>
          <w:color w:val="1f1f1f"/>
          <w:rtl w:val="0"/>
        </w:rPr>
        <w:t xml:space="preserve">"Multi-polarity does not just create volatility—it creates a sustained bid for Hard Assets." — </w:t>
      </w:r>
      <w:r w:rsidDel="00000000" w:rsidR="00000000" w:rsidRPr="00000000">
        <w:rPr>
          <w:i w:val="1"/>
          <w:iCs w:val="1"/>
          <w:color w:val="1f1f1f"/>
          <w:rtl w:val="0"/>
        </w:rPr>
        <w:t xml:space="preserve">Market Analyst, April 2026</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When global trade becomes weaponized through tariffs and sanctions, gold acts as the only neutral reserve asset that carries no political "strings."</w:t>
      </w:r>
    </w:p>
    <w:p w:rsidR="00000000" w:rsidDel="00000000" w:rsidP="00000000" w:rsidRDefault="00000000" w:rsidRPr="00000000" w14:paraId="00000016">
      <w:pPr>
        <w:rPr>
          <w:color w:val="1f1f1f"/>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20" w:before="0" w:lineRule="auto"/>
        <w:rPr>
          <w:b w:val="1"/>
          <w:bCs w:val="1"/>
          <w:color w:val="1f1f1f"/>
          <w:sz w:val="26"/>
          <w:szCs w:val="26"/>
        </w:rPr>
      </w:pPr>
      <w:bookmarkStart w:colFirst="0" w:colLast="0" w:name="_qpcuj2tkknyu" w:id="5"/>
      <w:bookmarkEnd w:id="5"/>
      <w:r w:rsidDel="00000000" w:rsidR="00000000" w:rsidRPr="00000000">
        <w:rPr>
          <w:b w:val="1"/>
          <w:bCs w:val="1"/>
          <w:color w:val="1f1f1f"/>
          <w:sz w:val="26"/>
          <w:szCs w:val="26"/>
          <w:rtl w:val="0"/>
        </w:rPr>
        <w:t xml:space="preserve">The Verdict: Is the Supercycle Real?</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While short-term pullbacks are inevitable—as seen in the 20% correction following the Fed's hawkish pivot in early 2026—the underlying signals point toward a structural regime shift. Major institutions like </w:t>
      </w:r>
      <w:r w:rsidDel="00000000" w:rsidR="00000000" w:rsidRPr="00000000">
        <w:rPr>
          <w:b w:val="1"/>
          <w:bCs w:val="1"/>
          <w:color w:val="1f1f1f"/>
          <w:rtl w:val="0"/>
        </w:rPr>
        <w:t xml:space="preserve">J.P. Morgan</w:t>
      </w:r>
      <w:r w:rsidDel="00000000" w:rsidR="00000000" w:rsidRPr="00000000">
        <w:rPr>
          <w:color w:val="1f1f1f"/>
          <w:rtl w:val="0"/>
        </w:rPr>
        <w:t xml:space="preserve"> and </w:t>
      </w:r>
      <w:r w:rsidDel="00000000" w:rsidR="00000000" w:rsidRPr="00000000">
        <w:rPr>
          <w:b w:val="1"/>
          <w:bCs w:val="1"/>
          <w:color w:val="1f1f1f"/>
          <w:rtl w:val="0"/>
        </w:rPr>
        <w:t xml:space="preserve">Goldman Sachs</w:t>
      </w:r>
      <w:r w:rsidDel="00000000" w:rsidR="00000000" w:rsidRPr="00000000">
        <w:rPr>
          <w:color w:val="1f1f1f"/>
          <w:rtl w:val="0"/>
        </w:rPr>
        <w:t xml:space="preserve"> have revised their year-end targets toward the </w:t>
      </w:r>
      <w:r w:rsidDel="00000000" w:rsidR="00000000" w:rsidRPr="00000000">
        <w:rPr>
          <w:b w:val="1"/>
          <w:bCs w:val="1"/>
          <w:color w:val="1f1f1f"/>
          <w:rtl w:val="0"/>
        </w:rPr>
        <w:t xml:space="preserve">$5,400–$6,000</w:t>
      </w:r>
      <w:r w:rsidDel="00000000" w:rsidR="00000000" w:rsidRPr="00000000">
        <w:rPr>
          <w:color w:val="1f1f1f"/>
          <w:rtl w:val="0"/>
        </w:rPr>
        <w:t xml:space="preserve"> range, citing "inelastic demand."</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b w:val="1"/>
          <w:bCs w:val="1"/>
          <w:color w:val="1f1f1f"/>
          <w:rtl w:val="0"/>
        </w:rPr>
        <w:t xml:space="preserve">The Smart Investor’s Take:</w:t>
      </w:r>
      <w:r w:rsidDel="00000000" w:rsidR="00000000" w:rsidRPr="00000000">
        <w:rPr>
          <w:color w:val="1f1f1f"/>
          <w:rtl w:val="0"/>
        </w:rPr>
        <w:t xml:space="preserve"> If we are indeed in a supercycle, the current price consolidation is not a sign of the end, but rather a "breather" before the next leg up. In a supercycle, the risk is often not </w:t>
      </w:r>
      <w:r w:rsidDel="00000000" w:rsidR="00000000" w:rsidRPr="00000000">
        <w:rPr>
          <w:i w:val="1"/>
          <w:iCs w:val="1"/>
          <w:color w:val="1f1f1f"/>
          <w:rtl w:val="0"/>
        </w:rPr>
        <w:t xml:space="preserve">buying the top</w:t>
      </w:r>
      <w:r w:rsidDel="00000000" w:rsidR="00000000" w:rsidRPr="00000000">
        <w:rPr>
          <w:color w:val="1f1f1f"/>
          <w:rtl w:val="0"/>
        </w:rPr>
        <w:t xml:space="preserve">, but being </w:t>
      </w:r>
      <w:r w:rsidDel="00000000" w:rsidR="00000000" w:rsidRPr="00000000">
        <w:rPr>
          <w:i w:val="1"/>
          <w:iCs w:val="1"/>
          <w:color w:val="1f1f1f"/>
          <w:rtl w:val="0"/>
        </w:rPr>
        <w:t xml:space="preserve">shaken out</w:t>
      </w:r>
      <w:r w:rsidDel="00000000" w:rsidR="00000000" w:rsidRPr="00000000">
        <w:rPr>
          <w:color w:val="1f1f1f"/>
          <w:rtl w:val="0"/>
        </w:rPr>
        <w:t xml:space="preserve"> of a position before the cycle truly peaks.</w:t>
      </w:r>
    </w:p>
    <w:tbl>
      <w:tblPr>
        <w:tblStyle w:val="Table1"/>
        <w:tblW w:w="70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65"/>
        <w:gridCol w:w="2160"/>
        <w:gridCol w:w="2355"/>
        <w:tblGridChange w:id="0">
          <w:tblGrid>
            <w:gridCol w:w="2565"/>
            <w:gridCol w:w="2160"/>
            <w:gridCol w:w="2355"/>
          </w:tblGrid>
        </w:tblGridChange>
      </w:tblGrid>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A">
            <w:pPr>
              <w:spacing w:after="480" w:lineRule="auto"/>
              <w:rPr>
                <w:color w:val="1f1f1f"/>
              </w:rPr>
            </w:pPr>
            <w:r w:rsidDel="00000000" w:rsidR="00000000" w:rsidRPr="00000000">
              <w:rPr>
                <w:b w:val="1"/>
                <w:bCs w:val="1"/>
                <w:color w:val="1f1f1f"/>
                <w:rtl w:val="0"/>
              </w:rPr>
              <w:t xml:space="preserve">Signal</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B">
            <w:pPr>
              <w:spacing w:after="480" w:lineRule="auto"/>
              <w:rPr>
                <w:color w:val="1f1f1f"/>
              </w:rPr>
            </w:pPr>
            <w:r w:rsidDel="00000000" w:rsidR="00000000" w:rsidRPr="00000000">
              <w:rPr>
                <w:b w:val="1"/>
                <w:bCs w:val="1"/>
                <w:color w:val="1f1f1f"/>
                <w:rtl w:val="0"/>
              </w:rPr>
              <w:t xml:space="preserve">Status in 2026</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1C">
            <w:pPr>
              <w:spacing w:after="480" w:lineRule="auto"/>
              <w:rPr>
                <w:color w:val="1f1f1f"/>
              </w:rPr>
            </w:pPr>
            <w:r w:rsidDel="00000000" w:rsidR="00000000" w:rsidRPr="00000000">
              <w:rPr>
                <w:b w:val="1"/>
                <w:bCs w:val="1"/>
                <w:color w:val="1f1f1f"/>
                <w:rtl w:val="0"/>
              </w:rPr>
              <w:t xml:space="preserve">Supercycle Strength</w:t>
            </w:r>
            <w:r w:rsidDel="00000000" w:rsidR="00000000" w:rsidRPr="00000000">
              <w:rPr>
                <w:rtl w:val="0"/>
              </w:rPr>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D">
            <w:pPr>
              <w:spacing w:after="480" w:lineRule="auto"/>
              <w:rPr>
                <w:color w:val="1f1f1f"/>
              </w:rPr>
            </w:pPr>
            <w:r w:rsidDel="00000000" w:rsidR="00000000" w:rsidRPr="00000000">
              <w:rPr>
                <w:b w:val="1"/>
                <w:bCs w:val="1"/>
                <w:color w:val="1f1f1f"/>
                <w:rtl w:val="0"/>
              </w:rPr>
              <w:t xml:space="preserve">Central Bank Buying</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1E">
            <w:pPr>
              <w:spacing w:after="480" w:lineRule="auto"/>
              <w:rPr>
                <w:color w:val="1f1f1f"/>
              </w:rPr>
            </w:pPr>
            <w:r w:rsidDel="00000000" w:rsidR="00000000" w:rsidRPr="00000000">
              <w:rPr>
                <w:color w:val="1f1f1f"/>
                <w:rtl w:val="0"/>
              </w:rPr>
              <w:t xml:space="preserve">Record Highs</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1F">
            <w:pPr>
              <w:spacing w:after="480" w:lineRule="auto"/>
              <w:rPr>
                <w:color w:val="1f1f1f"/>
              </w:rPr>
            </w:pPr>
            <w:r w:rsidDel="00000000" w:rsidR="00000000" w:rsidRPr="00000000">
              <w:rPr>
                <w:color w:val="1f1f1f"/>
                <w:rtl w:val="0"/>
              </w:rPr>
              <w:t xml:space="preserve">Strong 🟢</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0">
            <w:pPr>
              <w:spacing w:after="480" w:lineRule="auto"/>
              <w:rPr>
                <w:color w:val="1f1f1f"/>
              </w:rPr>
            </w:pPr>
            <w:r w:rsidDel="00000000" w:rsidR="00000000" w:rsidRPr="00000000">
              <w:rPr>
                <w:b w:val="1"/>
                <w:bCs w:val="1"/>
                <w:color w:val="1f1f1f"/>
                <w:rtl w:val="0"/>
              </w:rPr>
              <w:t xml:space="preserve">Real Interest Rates</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1">
            <w:pPr>
              <w:spacing w:after="480" w:lineRule="auto"/>
              <w:rPr>
                <w:color w:val="1f1f1f"/>
              </w:rPr>
            </w:pPr>
            <w:r w:rsidDel="00000000" w:rsidR="00000000" w:rsidRPr="00000000">
              <w:rPr>
                <w:color w:val="1f1f1f"/>
                <w:rtl w:val="0"/>
              </w:rPr>
              <w:t xml:space="preserve">Rising (Headwind)</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22">
            <w:pPr>
              <w:spacing w:after="480" w:lineRule="auto"/>
              <w:rPr>
                <w:color w:val="1f1f1f"/>
              </w:rPr>
            </w:pPr>
            <w:r w:rsidDel="00000000" w:rsidR="00000000" w:rsidRPr="00000000">
              <w:rPr>
                <w:color w:val="1f1f1f"/>
                <w:rtl w:val="0"/>
              </w:rPr>
              <w:t xml:space="preserve">Moderate 🟡</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3">
            <w:pPr>
              <w:spacing w:after="480" w:lineRule="auto"/>
              <w:rPr>
                <w:color w:val="1f1f1f"/>
              </w:rPr>
            </w:pPr>
            <w:r w:rsidDel="00000000" w:rsidR="00000000" w:rsidRPr="00000000">
              <w:rPr>
                <w:b w:val="1"/>
                <w:bCs w:val="1"/>
                <w:color w:val="1f1f1f"/>
                <w:rtl w:val="0"/>
              </w:rPr>
              <w:t xml:space="preserve">Mine Supply</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4">
            <w:pPr>
              <w:spacing w:after="480" w:lineRule="auto"/>
              <w:rPr>
                <w:color w:val="1f1f1f"/>
              </w:rPr>
            </w:pPr>
            <w:r w:rsidDel="00000000" w:rsidR="00000000" w:rsidRPr="00000000">
              <w:rPr>
                <w:color w:val="1f1f1f"/>
                <w:rtl w:val="0"/>
              </w:rPr>
              <w:t xml:space="preserve">Stagnant</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25">
            <w:pPr>
              <w:spacing w:after="480" w:lineRule="auto"/>
              <w:rPr>
                <w:color w:val="1f1f1f"/>
              </w:rPr>
            </w:pPr>
            <w:r w:rsidDel="00000000" w:rsidR="00000000" w:rsidRPr="00000000">
              <w:rPr>
                <w:color w:val="1f1f1f"/>
                <w:rtl w:val="0"/>
              </w:rPr>
              <w:t xml:space="preserve">Strong 🟢</w:t>
            </w:r>
          </w:p>
        </w:tc>
      </w:tr>
      <w:tr>
        <w:trPr>
          <w:cantSplit w:val="0"/>
          <w:trHeight w:val="780" w:hRule="atLeast"/>
          <w:tblHeader w:val="0"/>
        </w:trPr>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6">
            <w:pPr>
              <w:spacing w:after="480" w:lineRule="auto"/>
              <w:rPr>
                <w:color w:val="1f1f1f"/>
              </w:rPr>
            </w:pPr>
            <w:r w:rsidDel="00000000" w:rsidR="00000000" w:rsidRPr="00000000">
              <w:rPr>
                <w:b w:val="1"/>
                <w:bCs w:val="1"/>
                <w:color w:val="1f1f1f"/>
                <w:rtl w:val="0"/>
              </w:rPr>
              <w:t xml:space="preserve">Investor Sentiment</w:t>
            </w:r>
            <w:r w:rsidDel="00000000" w:rsidR="00000000" w:rsidRPr="00000000">
              <w:rPr>
                <w:rtl w:val="0"/>
              </w:rPr>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180.0" w:type="dxa"/>
            </w:tcMar>
            <w:vAlign w:val="top"/>
          </w:tcPr>
          <w:p w:rsidR="00000000" w:rsidDel="00000000" w:rsidP="00000000" w:rsidRDefault="00000000" w:rsidRPr="00000000" w14:paraId="00000027">
            <w:pPr>
              <w:spacing w:after="480" w:lineRule="auto"/>
              <w:rPr>
                <w:color w:val="1f1f1f"/>
              </w:rPr>
            </w:pPr>
            <w:r w:rsidDel="00000000" w:rsidR="00000000" w:rsidRPr="00000000">
              <w:rPr>
                <w:color w:val="1f1f1f"/>
                <w:rtl w:val="0"/>
              </w:rPr>
              <w:t xml:space="preserve">Cautious/Fearful</w:t>
            </w:r>
          </w:p>
        </w:tc>
        <w:tc>
          <w:tcPr>
            <w:tcBorders>
              <w:top w:color="1f1f1f" w:space="0" w:sz="4" w:val="single"/>
              <w:left w:color="1f1f1f" w:space="0" w:sz="4" w:val="single"/>
              <w:bottom w:color="1f1f1f" w:space="0" w:sz="4" w:val="single"/>
              <w:right w:color="1f1f1f" w:space="0" w:sz="4" w:val="single"/>
            </w:tcBorders>
            <w:tcMar>
              <w:top w:w="240.0" w:type="dxa"/>
              <w:left w:w="0.0" w:type="dxa"/>
              <w:bottom w:w="240.0" w:type="dxa"/>
              <w:right w:w="0.0" w:type="dxa"/>
            </w:tcMar>
            <w:vAlign w:val="top"/>
          </w:tcPr>
          <w:p w:rsidR="00000000" w:rsidDel="00000000" w:rsidP="00000000" w:rsidRDefault="00000000" w:rsidRPr="00000000" w14:paraId="00000028">
            <w:pPr>
              <w:spacing w:after="480" w:lineRule="auto"/>
              <w:rPr>
                <w:color w:val="1f1f1f"/>
              </w:rPr>
            </w:pPr>
            <w:r w:rsidDel="00000000" w:rsidR="00000000" w:rsidRPr="00000000">
              <w:rPr>
                <w:color w:val="1f1f1f"/>
                <w:rtl w:val="0"/>
              </w:rPr>
              <w:t xml:space="preserve">High Potential 🟢</w:t>
            </w:r>
          </w:p>
        </w:tc>
      </w:tr>
    </w:tbl>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160" w:lineRule="auto"/>
        <w:rPr>
          <w:color w:val="1f1f1f"/>
        </w:rPr>
      </w:pPr>
      <w:r w:rsidDel="00000000" w:rsidR="00000000" w:rsidRPr="00000000">
        <w:rPr>
          <w:color w:val="1f1f1f"/>
          <w:rtl w:val="0"/>
        </w:rPr>
        <w:t xml:space="preserve">The evidence suggests that while the "easy gains" of 2025 are over, the structural march toward higher valuations is just beginning. Gold isn't just reacting to the news anymore; it is reflecting a fundamental change in the value of money itself.</w:t>
      </w:r>
    </w:p>
    <w:p w:rsidR="00000000" w:rsidDel="00000000" w:rsidP="00000000" w:rsidRDefault="00000000" w:rsidRPr="00000000" w14:paraId="0000002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